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HelveticaNeueLT Com 55 Roman" w:hAnsi="HelveticaNeueLT Com 55 Roman" w:cs="HelveticaNeueLT Com 55 Roman"/>
          <w:b/>
          <w:b/>
          <w:bCs/>
        </w:rPr>
      </w:pPr>
      <w:r>
        <w:rPr>
          <w:rFonts w:cs="HelveticaNeueLT Pro 55 Roman" w:ascii="HelveticaNeueLT Pro 55 Roman" w:hAnsi="HelveticaNeueLT Pro 55 Roman"/>
          <w:b/>
          <w:bCs/>
        </w:rPr>
        <w:t>Presseinformation</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t>Brandneu auf der IFH/Intherm</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Pro 55 Roman" w:hAnsi="HelveticaNeueLT Pro 55 Roman" w:cs="HelveticaNeueLT Pro 55 Roman"/>
          <w:b/>
          <w:b/>
          <w:bCs/>
          <w:sz w:val="28"/>
          <w:szCs w:val="28"/>
        </w:rPr>
      </w:pPr>
      <w:r>
        <w:rPr>
          <w:rFonts w:cs="HelveticaNeueLT Pro 55 Roman" w:ascii="HelveticaNeueLT Pro 55 Roman" w:hAnsi="HelveticaNeueLT Pro 55 Roman"/>
          <w:b/>
          <w:bCs/>
          <w:sz w:val="32"/>
          <w:szCs w:val="32"/>
        </w:rPr>
        <w:t>KW Energie präsentiert neuen smartblock 75s</w:t>
      </w:r>
    </w:p>
    <w:p>
      <w:pPr>
        <w:pStyle w:val="Normal"/>
        <w:rPr>
          <w:rFonts w:ascii="HelveticaNeueLT Pro 55 Roman" w:hAnsi="HelveticaNeueLT Pro 55 Roman" w:cs="HelveticaNeueLT Pro 55 Roman"/>
          <w:b/>
          <w:b/>
          <w:bCs/>
          <w:sz w:val="28"/>
          <w:szCs w:val="28"/>
        </w:rPr>
      </w:pPr>
      <w:r>
        <w:rPr>
          <w:rFonts w:cs="HelveticaNeueLT Pro 55 Roman" w:ascii="HelveticaNeueLT Pro 55 Roman" w:hAnsi="HelveticaNeueLT Pro 55 Roman"/>
          <w:b/>
          <w:bCs/>
          <w:sz w:val="28"/>
          <w:szCs w:val="28"/>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i/>
          <w:iCs/>
        </w:rPr>
        <w:t>Freystadt, 30. März 2016 –</w:t>
      </w:r>
      <w:r>
        <w:rPr>
          <w:rFonts w:cs="HelveticaNeueLT Pro 55 Roman" w:ascii="HelveticaNeueLT Pro 55 Roman" w:hAnsi="HelveticaNeueLT Pro 55 Roman"/>
        </w:rPr>
        <w:t xml:space="preserve"> </w:t>
      </w:r>
      <w:r>
        <w:rPr>
          <w:rFonts w:cs="HelveticaNeueLT Pro 55 Roman" w:ascii="HelveticaNeueLT Pro 55 Roman" w:hAnsi="HelveticaNeueLT Pro 55 Roman"/>
          <w:b/>
          <w:bCs/>
          <w:color w:val="000000"/>
        </w:rPr>
        <w:t xml:space="preserve"> Auf der IFH/Intherm 2016 in Nürnberg präsentiert die KW Energie GmbH &amp; Co. KG, Freystadt, erstmals den neuen smartblock 75s dem Fachpublikum. Wie alle BHKW der smartblock-Reihe punktet auch der smartblock 75s mit höchster Effizienz bei unerreicht kompakten Abmessungen.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xml:space="preserve">Mit dem smartblock 75s rundet der Freystädter BHKW-Hersteller die bestehende smartblock-Reihe nach oben ab. Vom smartblock 7,5 bis zum smartblock 75s verfügt KW Energie jetzt über eine lückenlose Palette von 7,5 bis 75 kW elektrischer Leistung und von 22,1 bis 139,8 kW thermischer Leistung. </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In der oft nachgefragten Leistungsklasse von 70 kW</w:t>
      </w:r>
      <w:r>
        <w:rPr>
          <w:rFonts w:cs="HelveticaNeueLT Pro 55 Roman" w:ascii="HelveticaNeueLT Pro 55 Roman" w:hAnsi="HelveticaNeueLT Pro 55 Roman"/>
          <w:color w:val="000000"/>
          <w:vertAlign w:val="subscript"/>
        </w:rPr>
        <w:t>el</w:t>
      </w:r>
      <w:r>
        <w:rPr>
          <w:rFonts w:cs="HelveticaNeueLT Pro 55 Roman" w:ascii="HelveticaNeueLT Pro 55 Roman" w:hAnsi="HelveticaNeueLT Pro 55 Roman"/>
          <w:color w:val="000000"/>
        </w:rPr>
        <w:t xml:space="preserve"> bietet der smartblock 75s eine Reihe von Vorteilen. So ermöglicht die Mehrleistung von 5 kW gegenüber dem Wettbewerb einen erheblichen Mehrertrag während der Laufzeit des BHKW und sichert damit ein sehr gutes Preis-Leistungsverhältnis. Weitere Highlights sind der herausragende Primärenergiefaktor von 0,15, der höchste elektrische Wirkungsgrad seiner Klasse (35,8%) sowie der geringe Schalldruckpegel von nur 56,8 dB(A). Der serienmäßig integrierte Brennwertwärmetauscher sorgt zu</w:t>
      </w:r>
      <w:bookmarkStart w:id="0" w:name="_GoBack"/>
      <w:bookmarkEnd w:id="0"/>
      <w:r>
        <w:rPr>
          <w:rFonts w:cs="HelveticaNeueLT Pro 55 Roman" w:ascii="HelveticaNeueLT Pro 55 Roman" w:hAnsi="HelveticaNeueLT Pro 55 Roman"/>
          <w:color w:val="000000"/>
        </w:rPr>
        <w:t>dem für den höchsten Gesamtwirkungsgrad in der 70 kW-Klasse. Wie alle anderen BHKW der smartblock-Reihe setzt auch der smartblock 75s mit seinen geringen Abmessungen Maßstäbe.</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eastAsia="HelveticaNeueLT Pro 55 Roman" w:cs="HelveticaNeueLT Pro 55 Roman" w:ascii="HelveticaNeueLT Pro 55 Roman" w:hAnsi="HelveticaNeueLT Pro 55 Roman"/>
          <w:color w:val="000000"/>
        </w:rPr>
        <w:t>„</w:t>
      </w:r>
      <w:r>
        <w:rPr>
          <w:rFonts w:cs="HelveticaNeueLT Pro 55 Roman" w:ascii="HelveticaNeueLT Pro 55 Roman" w:hAnsi="HelveticaNeueLT Pro 55 Roman"/>
          <w:color w:val="000000"/>
        </w:rPr>
        <w:t>Mit dem neuen smartblock 75s kommen wir dem von Partnern und Kunden oft geäußerten Wunsch nach einem BHKW in der 70 kW-Klasse entgegen“, so Andreas Weigel, Geschäftsführer der KW Energie GmbH &amp; Co. KG. „Und ganz nebenbei runden wir so unsere modulare smartblock-Reihe nach oben ab“, ergänzt Weigel.</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t>Der für den Vertrieb zuständige Geschäftsführungskollege Andreas Bodensteiner ist zuversichtlich, „dass wir mit dem smartblock 75s am Markt auf großes Interesse stoßen werden, was sich schon jetzt an der ausgezeichneten Resonanz unserer Fachhandelspartner ablesen lässt.“</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i/>
          <w:i/>
        </w:rPr>
      </w:pPr>
      <w:r>
        <w:rPr>
          <w:rFonts w:cs="HelveticaNeueLT Pro 55 Roman" w:ascii="HelveticaNeueLT Pro 55 Roman" w:hAnsi="HelveticaNeueLT Pro 55 Roman"/>
          <w:b/>
        </w:rPr>
        <w:t>Zur KW Energie GmbH:</w:t>
      </w:r>
      <w:r>
        <w:rPr>
          <w:rFonts w:cs="HelveticaNeueLT Pro 55 Roman" w:ascii="HelveticaNeueLT Pro 55 Roman" w:hAnsi="HelveticaNeueLT Pro 55 Roman"/>
        </w:rPr>
        <w:t xml:space="preserve"> </w:t>
      </w:r>
      <w:r>
        <w:rPr>
          <w:rFonts w:cs="HelveticaNeueLT Pro 55 Roman" w:ascii="HelveticaNeueLT Pro 55 Roman" w:hAnsi="HelveticaNeueLT Pro 55 Roman"/>
          <w:i/>
        </w:rPr>
        <w:t>Seit die KW Energie GmbH &amp;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75 kW</w:t>
      </w:r>
      <w:r>
        <w:rPr>
          <w:rFonts w:cs="HelveticaNeueLT Pro 55 Roman" w:ascii="HelveticaNeueLT Pro 55 Roman" w:hAnsi="HelveticaNeueLT Pro 55 Roman"/>
          <w:i/>
          <w:vertAlign w:val="subscript"/>
        </w:rPr>
        <w:t>el</w:t>
      </w:r>
      <w:r>
        <w:rPr>
          <w:rFonts w:cs="HelveticaNeueLT Pro 55 Roman" w:ascii="HelveticaNeueLT Pro 55 Roman" w:hAnsi="HelveticaNeueLT Pro 55 Roman"/>
          <w:i/>
        </w:rPr>
        <w:t xml:space="preserve"> Leistung erarbeiten. Inzwischen zählt das Unternehmen bei BHKW in dieser Leistungsklasse zu den Top-Ten deutscher BHKW-Hersteller. Mit der Vorstellung der völlig neu entwickelten smartblock -Reihe hat das Unternehmen in Bezug auf Kompaktheit und innovative, technische Lösungen neue Maßstäbe bei Mini-BHKW gesetzt. Das Unternehmen beschäftigt am Firmensitz in Freystadt derzeit über 50 Mitarbeiter.</w:t>
      </w:r>
    </w:p>
    <w:p>
      <w:pPr>
        <w:pStyle w:val="Normal"/>
        <w:rPr>
          <w:rFonts w:ascii="HelveticaNeueLT Pro 55 Roman" w:hAnsi="HelveticaNeueLT Pro 55 Roman" w:cs="HelveticaNeueLT Pro 55 Roman"/>
          <w:i/>
          <w:i/>
        </w:rPr>
      </w:pPr>
      <w:r>
        <w:rPr>
          <w:rFonts w:cs="HelveticaNeueLT Pro 55 Roman" w:ascii="HelveticaNeueLT Pro 55 Roman" w:hAnsi="HelveticaNeueLT Pro 55 Roman"/>
          <w:i/>
        </w:rPr>
      </w:r>
    </w:p>
    <w:p>
      <w:pPr>
        <w:pStyle w:val="Normal"/>
        <w:rPr>
          <w:rFonts w:ascii="HelveticaNeueLT Pro 55 Roman" w:hAnsi="HelveticaNeueLT Pro 55 Roman" w:cs="HelveticaNeueLT Pro 55 Roman"/>
          <w:i/>
          <w:i/>
        </w:rPr>
      </w:pPr>
      <w:r>
        <w:rPr>
          <w:rFonts w:cs="HelveticaNeueLT Pro 55 Roman" w:ascii="HelveticaNeueLT Pro 55 Roman" w:hAnsi="HelveticaNeueLT Pro 55 Roman"/>
          <w:i/>
        </w:rPr>
      </w:r>
    </w:p>
    <w:p>
      <w:pPr>
        <w:pStyle w:val="Normal"/>
        <w:ind w:left="0" w:right="486" w:hanging="0"/>
        <w:rPr/>
      </w:pPr>
      <w:r>
        <w:rPr>
          <w:rFonts w:cs="HelveticaNeueLT Pro 55 Roman" w:ascii="HelveticaNeueLT Pro 55 Roman" w:hAnsi="HelveticaNeueLT Pro 55 Roman"/>
          <w:b/>
          <w:bCs/>
        </w:rPr>
        <w:t>Rückfragen:</w:t>
      </w:r>
      <w:r>
        <w:rPr>
          <w:rFonts w:cs="HelveticaNeueLT Pro 55 Roman" w:ascii="HelveticaNeueLT Pro 55 Roman" w:hAnsi="HelveticaNeueLT Pro 55 Roman"/>
        </w:rPr>
        <w:t xml:space="preserve"> </w:t>
        <w:br/>
        <w:t>Andreas Bodensteiner, 09179-964340</w:t>
      </w:r>
    </w:p>
    <w:p>
      <w:pPr>
        <w:pStyle w:val="Normal"/>
        <w:ind w:left="0" w:right="486" w:hanging="0"/>
        <w:rPr>
          <w:rFonts w:ascii="HelveticaNeueLT Pro 55 Roman" w:hAnsi="HelveticaNeueLT Pro 55 Roman" w:cs="HelveticaNeueLT Pro 55 Roman"/>
          <w:lang w:val="de-DE" w:eastAsia="de-DE"/>
        </w:rPr>
      </w:pPr>
      <w:r>
        <w:rPr>
          <w:rFonts w:cs="HelveticaNeueLT Pro 55 Roman" w:ascii="HelveticaNeueLT Pro 55 Roman" w:hAnsi="HelveticaNeueLT Pro 55 Roman"/>
          <w:lang w:val="de-DE" w:eastAsia="de-DE"/>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eastAsia="HelveticaNeueLT Pro 55 Roman" w:cs="HelveticaNeueLT Pro 55 Roman" w:ascii="HelveticaNeueLT Pro 55 Roman" w:hAnsi="HelveticaNeueLT Pro 55 Roman"/>
        </w:rPr>
        <w:t xml:space="preserve"> </w:t>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ind w:left="0" w:right="486" w:hanging="0"/>
        <w:rPr>
          <w:rFonts w:ascii="HelveticaNeueLT Pro 55 Roman" w:hAnsi="HelveticaNeueLT Pro 55 Roman" w:cs="HelveticaNeueLT Pro 55 Roman"/>
        </w:rPr>
      </w:pPr>
      <w:r>
        <w:rPr>
          <w:rFonts w:cs="HelveticaNeueLT Pro 55 Roman" w:ascii="HelveticaNeueLT Pro 55 Roman" w:hAnsi="HelveticaNeueLT Pro 55 Roman"/>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HelveticaNeueLT Pro 55 Roman">
    <w:charset w:val="00"/>
    <w:family w:val="swiss"/>
    <w:pitch w:val="variable"/>
  </w:font>
  <w:font w:name="HelveticaNeueLT Com 55 Roman">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SimSun;宋体" w:cs="Mangal"/>
      <w:color w:val="auto"/>
      <w:sz w:val="24"/>
      <w:szCs w:val="24"/>
      <w:lang w:val="de-DE" w:eastAsia="zh-CN" w:bidi="hi-IN"/>
    </w:rPr>
  </w:style>
  <w:style w:type="paragraph" w:styleId="Berschrift1">
    <w:name w:val="Überschrift 1"/>
    <w:basedOn w:val="Berschrift"/>
    <w:next w:val="Textkrper"/>
    <w:pPr>
      <w:numPr>
        <w:ilvl w:val="0"/>
        <w:numId w:val="1"/>
      </w:numPr>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SprechblasentextZchn">
    <w:name w:val="Sprechblasentext Zchn"/>
    <w:basedOn w:val="AbsatzStandardschriftart"/>
    <w:qFormat/>
    <w:rPr>
      <w:rFonts w:ascii="Tahoma" w:hAnsi="Tahoma" w:eastAsia="SimSun;宋体" w:cs="Tahoma"/>
      <w:sz w:val="16"/>
      <w:szCs w:val="14"/>
    </w:rPr>
  </w:style>
  <w:style w:type="paragraph" w:styleId="Berschrift">
    <w:name w:val="Überschrift"/>
    <w:basedOn w:val="Normal"/>
    <w:next w:val="Textkrper"/>
    <w:qFormat/>
    <w:pPr>
      <w:keepNext/>
      <w:spacing w:before="240" w:after="120"/>
    </w:pPr>
    <w:rPr>
      <w:rFonts w:ascii="Liberation Sans;Arial" w:hAnsi="Liberation Sans;Arial" w:eastAsia="Microsoft YaHei" w:cs="Liberation San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rPr>
  </w:style>
  <w:style w:type="paragraph" w:styleId="Verzeichnis">
    <w:name w:val="Verzeichni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 w:type="paragraph" w:styleId="Sprechblasentext">
    <w:name w:val="Sprechblasentext"/>
    <w:basedOn w:val="Normal"/>
    <w:qFormat/>
    <w:pPr/>
    <w:rPr>
      <w:rFonts w:ascii="Tahoma" w:hAnsi="Tahoma" w:cs="Tahoma"/>
      <w:sz w:val="16"/>
      <w:szCs w:val="1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LibreOffice/5.0.5.2$Windows_x86 LibreOffice_project/55b006a02d247b5f7215fc6ea0fde844b30035b3</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2016-03-29T17:52:00Z</dcterms:created>
  <dc:creator>Andreas Bodensteiner</dc:creator>
  <dc:language>de-DE</dc:language>
  <dcterms:modified xsi:type="dcterms:W3CDTF">2016-03-29T17:56:19Z</dcterms:modified>
  <cp:revision>3</cp:revision>
</cp:coreProperties>
</file>